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77777777" w:rsidR="00B340AC" w:rsidRPr="00DC734B" w:rsidRDefault="004A0C31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DC734B">
        <w:rPr>
          <w:b/>
          <w:sz w:val="28"/>
          <w:szCs w:val="28"/>
          <w:u w:val="single"/>
        </w:rPr>
        <w:t xml:space="preserve">Annual </w:t>
      </w:r>
      <w:r w:rsidR="00CE3C6E" w:rsidRPr="00DC734B">
        <w:rPr>
          <w:b/>
          <w:sz w:val="28"/>
          <w:szCs w:val="28"/>
          <w:u w:val="single"/>
        </w:rPr>
        <w:t xml:space="preserve">Mineral </w:t>
      </w:r>
      <w:r w:rsidRPr="00DC734B">
        <w:rPr>
          <w:b/>
          <w:sz w:val="28"/>
          <w:szCs w:val="28"/>
          <w:u w:val="single"/>
        </w:rPr>
        <w:t>Exploration Report</w:t>
      </w:r>
      <w:r w:rsidR="0066791C">
        <w:rPr>
          <w:b/>
          <w:sz w:val="28"/>
          <w:szCs w:val="28"/>
          <w:u w:val="single"/>
        </w:rPr>
        <w:t xml:space="preserve"> (</w:t>
      </w:r>
      <w:r w:rsidR="006909EE">
        <w:rPr>
          <w:b/>
          <w:sz w:val="28"/>
          <w:szCs w:val="28"/>
          <w:u w:val="single"/>
        </w:rPr>
        <w:t>QLD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77777777" w:rsidR="00DC734B" w:rsidRPr="00DC734B" w:rsidRDefault="00DC734B" w:rsidP="00DC734B">
      <w:pPr>
        <w:spacing w:after="120"/>
        <w:ind w:left="-284" w:right="-164"/>
        <w:rPr>
          <w:sz w:val="24"/>
          <w:szCs w:val="24"/>
        </w:rPr>
      </w:pPr>
      <w:r w:rsidRPr="00DC734B">
        <w:rPr>
          <w:sz w:val="24"/>
          <w:szCs w:val="24"/>
        </w:rPr>
        <w:t xml:space="preserve">This action definition describes what needs to be done to lodge an annual mineral exploration report </w:t>
      </w:r>
      <w:r w:rsidR="00DD670F">
        <w:rPr>
          <w:sz w:val="24"/>
          <w:szCs w:val="24"/>
        </w:rPr>
        <w:t xml:space="preserve">for a tenement that does not belong to a </w:t>
      </w:r>
      <w:r w:rsidR="00DD670F" w:rsidRPr="00A61089">
        <w:rPr>
          <w:sz w:val="24"/>
          <w:szCs w:val="24"/>
        </w:rPr>
        <w:t>Combined Reporting Group</w:t>
      </w:r>
      <w:r w:rsidR="00DD670F">
        <w:rPr>
          <w:sz w:val="24"/>
          <w:szCs w:val="24"/>
        </w:rPr>
        <w:t xml:space="preserve">, </w:t>
      </w:r>
      <w:r w:rsidRPr="00DC734B">
        <w:rPr>
          <w:sz w:val="24"/>
          <w:szCs w:val="24"/>
        </w:rPr>
        <w:t xml:space="preserve">in </w:t>
      </w:r>
      <w:r w:rsidR="006909EE">
        <w:rPr>
          <w:sz w:val="24"/>
          <w:szCs w:val="24"/>
        </w:rPr>
        <w:t>QLD</w:t>
      </w:r>
      <w:r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77777777" w:rsidR="00A6052B" w:rsidRPr="00DC734B" w:rsidRDefault="0007297C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Expenditure Statement and </w:t>
            </w:r>
            <w:r w:rsidR="004A0C31" w:rsidRPr="00DC734B">
              <w:rPr>
                <w:sz w:val="24"/>
                <w:szCs w:val="24"/>
              </w:rPr>
              <w:t>Annual</w:t>
            </w:r>
            <w:r w:rsidR="00CE3C6E" w:rsidRPr="00DC734B">
              <w:rPr>
                <w:sz w:val="24"/>
                <w:szCs w:val="24"/>
              </w:rPr>
              <w:t xml:space="preserve"> Mineral </w:t>
            </w:r>
            <w:r w:rsidR="004A0C31" w:rsidRPr="00DC734B">
              <w:rPr>
                <w:sz w:val="24"/>
                <w:szCs w:val="24"/>
              </w:rPr>
              <w:t>Exploration Report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8048E68" w14:textId="77777777" w:rsidR="00BA4A91" w:rsidRPr="00DC734B" w:rsidRDefault="0082309D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  <w:p w14:paraId="01D7E94D" w14:textId="77777777" w:rsidR="00A6052B" w:rsidRPr="00DC734B" w:rsidRDefault="0049354A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BB0CDB">
              <w:rPr>
                <w:sz w:val="24"/>
                <w:szCs w:val="24"/>
              </w:rPr>
              <w:t>{</w:t>
            </w:r>
            <w:proofErr w:type="spellStart"/>
            <w:r w:rsidRPr="00BB0CDB">
              <w:rPr>
                <w:sz w:val="24"/>
                <w:szCs w:val="24"/>
              </w:rPr>
              <w:t>groupN</w:t>
            </w:r>
            <w:r w:rsidR="003D0742">
              <w:rPr>
                <w:sz w:val="24"/>
                <w:szCs w:val="24"/>
              </w:rPr>
              <w:t>ame</w:t>
            </w:r>
            <w:proofErr w:type="spellEnd"/>
            <w:r w:rsidRPr="00BB0CDB">
              <w:rPr>
                <w:sz w:val="24"/>
                <w:szCs w:val="24"/>
              </w:rPr>
              <w:t xml:space="preserve">} </w:t>
            </w:r>
            <w:r w:rsidR="00073080" w:rsidRPr="00BB0CDB">
              <w:rPr>
                <w:sz w:val="24"/>
                <w:szCs w:val="24"/>
              </w:rPr>
              <w:t>=</w:t>
            </w:r>
            <w:r w:rsidRPr="00BB0CDB">
              <w:rPr>
                <w:sz w:val="24"/>
                <w:szCs w:val="24"/>
              </w:rPr>
              <w:t xml:space="preserve"> Blank</w:t>
            </w:r>
          </w:p>
        </w:tc>
      </w:tr>
      <w:tr w:rsidR="00F4507B" w:rsidRPr="00D330B0" w14:paraId="31485553" w14:textId="77777777" w:rsidTr="00DC3A6E">
        <w:tc>
          <w:tcPr>
            <w:tcW w:w="3403" w:type="dxa"/>
          </w:tcPr>
          <w:p w14:paraId="3D3FFF0C" w14:textId="77777777" w:rsidR="00F4507B" w:rsidRPr="00683F3C" w:rsidRDefault="00F4507B" w:rsidP="00DC3A6E">
            <w:pPr>
              <w:jc w:val="right"/>
              <w:rPr>
                <w:b/>
                <w:sz w:val="24"/>
                <w:szCs w:val="24"/>
              </w:rPr>
            </w:pPr>
            <w:r w:rsidRPr="00683F3C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B283A10" w14:textId="77777777" w:rsidR="00F4507B" w:rsidRPr="00683F3C" w:rsidRDefault="00F4507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683F3C">
              <w:rPr>
                <w:sz w:val="24"/>
                <w:szCs w:val="24"/>
              </w:rPr>
              <w:t>Managed</w:t>
            </w:r>
          </w:p>
        </w:tc>
      </w:tr>
      <w:tr w:rsidR="00A6052B" w:rsidRPr="00DC734B" w14:paraId="0EA1A5CD" w14:textId="77777777" w:rsidTr="00123FB7">
        <w:tc>
          <w:tcPr>
            <w:tcW w:w="3403" w:type="dxa"/>
          </w:tcPr>
          <w:p w14:paraId="3EFE1F01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77777777" w:rsidR="00A6052B" w:rsidRPr="00DC734B" w:rsidRDefault="009D6ECD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Annually</w:t>
            </w:r>
          </w:p>
        </w:tc>
      </w:tr>
      <w:tr w:rsidR="0082309D" w:rsidRPr="00DC734B" w14:paraId="26918257" w14:textId="77777777" w:rsidTr="0082309D">
        <w:tc>
          <w:tcPr>
            <w:tcW w:w="3403" w:type="dxa"/>
          </w:tcPr>
          <w:p w14:paraId="6A62621E" w14:textId="77777777" w:rsidR="0082309D" w:rsidRPr="009B41F3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Anniversary</w:t>
            </w:r>
            <w:r w:rsidRPr="009B41F3">
              <w:rPr>
                <w:rStyle w:val="FootnoteReference"/>
                <w:sz w:val="24"/>
                <w:szCs w:val="24"/>
              </w:rPr>
              <w:footnoteReference w:id="2"/>
            </w:r>
            <w:r w:rsidRPr="009B4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{commencementDate} + {Interval}</w:t>
            </w:r>
          </w:p>
        </w:tc>
      </w:tr>
      <w:tr w:rsidR="0082309D" w:rsidRPr="00DC734B" w14:paraId="0E6A6630" w14:textId="77777777" w:rsidTr="000E3EC1">
        <w:tc>
          <w:tcPr>
            <w:tcW w:w="3403" w:type="dxa"/>
          </w:tcPr>
          <w:p w14:paraId="3742028C" w14:textId="77777777" w:rsidR="0082309D" w:rsidRPr="009B41F3" w:rsidRDefault="0082309D" w:rsidP="00EA1D77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Deadline</w:t>
            </w:r>
            <w:r w:rsidRPr="009B41F3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 xml:space="preserve">= {Critical Date} + </w:t>
            </w:r>
            <w:r w:rsidR="000F2DDE">
              <w:rPr>
                <w:sz w:val="24"/>
                <w:szCs w:val="24"/>
              </w:rPr>
              <w:t>29</w:t>
            </w:r>
            <w:r w:rsidRPr="009B41F3">
              <w:rPr>
                <w:sz w:val="24"/>
                <w:szCs w:val="24"/>
              </w:rPr>
              <w:t xml:space="preserve"> days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77777777" w:rsidR="005A6828" w:rsidRPr="009B41F3" w:rsidRDefault="006909EE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77777777" w:rsidR="005A6828" w:rsidRPr="009B41F3" w:rsidRDefault="00DC2945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Exploration Permit Mineral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77777777" w:rsidR="00DC734B" w:rsidRPr="00DC734B" w:rsidRDefault="000F2DDE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77777777" w:rsidR="00DC734B" w:rsidRPr="00DC734B" w:rsidRDefault="00DC2945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Exploration Permit Coal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  <w:tr w:rsidR="000F2DDE" w:rsidRPr="00DC734B" w14:paraId="4A4CA56E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453B16A2" w14:textId="77777777" w:rsidR="000F2DDE" w:rsidRDefault="000F2DDE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06E02942" w14:textId="77777777" w:rsidR="000F2DDE" w:rsidRDefault="000F2DDE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Mineral Development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609B8BBC" w14:textId="77777777" w:rsidR="000F2DDE" w:rsidRPr="00DC734B" w:rsidRDefault="000F2DDE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B4298D" w:rsidRPr="00DC734B" w14:paraId="2E980E68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7BDDBEA" w14:textId="77777777" w:rsidR="00B4298D" w:rsidRPr="00DC734B" w:rsidRDefault="00B4298D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Notify Geologist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49AA8AB5" w14:textId="77777777" w:rsidR="00B4298D" w:rsidRPr="00DC734B" w:rsidRDefault="00B4298D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60d</w:t>
            </w:r>
          </w:p>
        </w:tc>
      </w:tr>
      <w:tr w:rsidR="00180743" w:rsidRPr="00DC734B" w14:paraId="2E8561E2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1A6D7EA8" w14:textId="77777777" w:rsidR="00180743" w:rsidRDefault="00180743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Expenditure from Accounts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75A0A275" w14:textId="77777777" w:rsidR="00180743" w:rsidRDefault="00180743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29d</w:t>
            </w:r>
          </w:p>
        </w:tc>
      </w:tr>
      <w:tr w:rsidR="00B4298D" w:rsidRPr="00DC734B" w14:paraId="26CD1EE8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4E08ECD9" w14:textId="77777777" w:rsidR="00B4298D" w:rsidRPr="00DC734B" w:rsidRDefault="00B4298D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up Geologist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47732131" w14:textId="77777777" w:rsidR="00B4298D" w:rsidRPr="00DC734B" w:rsidRDefault="00B4298D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10d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77777777" w:rsidR="003B5787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 xml:space="preserve">Lodge Annual Mineral Exploration </w:t>
            </w:r>
            <w:r w:rsidR="009B41F3">
              <w:rPr>
                <w:sz w:val="24"/>
                <w:szCs w:val="24"/>
              </w:rPr>
              <w:t xml:space="preserve">Technical </w:t>
            </w:r>
            <w:r w:rsidRPr="00DC734B">
              <w:rPr>
                <w:sz w:val="24"/>
                <w:szCs w:val="24"/>
              </w:rPr>
              <w:t>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77777777" w:rsidR="003B5787" w:rsidRPr="00DC734B" w:rsidRDefault="00CE3C6E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5d</w:t>
            </w: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0F964D5A" w14:textId="77777777" w:rsidR="00B03757" w:rsidRDefault="00B03757" w:rsidP="00B0375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0F11E95C" w14:textId="77777777" w:rsidTr="00AF149B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2B6A" w14:textId="34E36859" w:rsidR="00AF149B" w:rsidRDefault="00BB1E52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A7E" w14:textId="7E18BB09" w:rsidR="00AF149B" w:rsidRDefault="00BB1E52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741B" w14:textId="7FB65581" w:rsidR="00AF149B" w:rsidRDefault="00BB1E52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Removed wiki links, custom fields and test examples. </w:t>
            </w:r>
          </w:p>
        </w:tc>
      </w:tr>
      <w:tr w:rsidR="00BB1E52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7E55D7F0" w:rsidR="00BB1E52" w:rsidRDefault="00BB1E52" w:rsidP="00BB1E5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3E4A1A2F" w:rsidR="00BB1E52" w:rsidRDefault="00BB1E52" w:rsidP="00BB1E5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3BDB4AA0" w:rsidR="00BB1E52" w:rsidRDefault="00BB1E52" w:rsidP="00BB1E5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BB1E52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66CAB5E3" w:rsidR="00BB1E52" w:rsidRDefault="00BB1E52" w:rsidP="00BB1E5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09B0B689" w:rsidR="00BB1E52" w:rsidRDefault="00BB1E52" w:rsidP="00BB1E5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5B575CEA" w:rsidR="00BB1E52" w:rsidRDefault="00BB1E52" w:rsidP="00BB1E5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BB1E52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BB1E52" w:rsidRDefault="00BB1E52" w:rsidP="00BB1E5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BB1E52" w:rsidRDefault="00BB1E52" w:rsidP="00BB1E5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BB1E52" w:rsidRDefault="00BB1E52" w:rsidP="00BB1E5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1AE4D7D6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838F45F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66469">
    <w:abstractNumId w:val="1"/>
  </w:num>
  <w:num w:numId="2" w16cid:durableId="106005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093B"/>
    <w:rsid w:val="00066966"/>
    <w:rsid w:val="00071274"/>
    <w:rsid w:val="0007297C"/>
    <w:rsid w:val="00073080"/>
    <w:rsid w:val="00080923"/>
    <w:rsid w:val="00085A18"/>
    <w:rsid w:val="0009418F"/>
    <w:rsid w:val="000A4578"/>
    <w:rsid w:val="000A678E"/>
    <w:rsid w:val="000B3C2E"/>
    <w:rsid w:val="000C1DE0"/>
    <w:rsid w:val="000C2712"/>
    <w:rsid w:val="000E3EC1"/>
    <w:rsid w:val="000E5153"/>
    <w:rsid w:val="000F2DDE"/>
    <w:rsid w:val="00123FB7"/>
    <w:rsid w:val="00180743"/>
    <w:rsid w:val="00185B07"/>
    <w:rsid w:val="00192AEE"/>
    <w:rsid w:val="001B5FFA"/>
    <w:rsid w:val="00214D96"/>
    <w:rsid w:val="00266B19"/>
    <w:rsid w:val="00281C31"/>
    <w:rsid w:val="002A49F9"/>
    <w:rsid w:val="002A67E5"/>
    <w:rsid w:val="002B522E"/>
    <w:rsid w:val="002B7D68"/>
    <w:rsid w:val="00331E4E"/>
    <w:rsid w:val="00334D03"/>
    <w:rsid w:val="0036466A"/>
    <w:rsid w:val="003735B5"/>
    <w:rsid w:val="003A0AB3"/>
    <w:rsid w:val="003A582E"/>
    <w:rsid w:val="003B116C"/>
    <w:rsid w:val="003B5787"/>
    <w:rsid w:val="003D0742"/>
    <w:rsid w:val="00417052"/>
    <w:rsid w:val="00426363"/>
    <w:rsid w:val="00433EC5"/>
    <w:rsid w:val="00434670"/>
    <w:rsid w:val="00451608"/>
    <w:rsid w:val="0045568C"/>
    <w:rsid w:val="00481E35"/>
    <w:rsid w:val="0049354A"/>
    <w:rsid w:val="004A0C31"/>
    <w:rsid w:val="004B70A8"/>
    <w:rsid w:val="005031B3"/>
    <w:rsid w:val="00596B28"/>
    <w:rsid w:val="005A6828"/>
    <w:rsid w:val="005E587B"/>
    <w:rsid w:val="005F12A7"/>
    <w:rsid w:val="0062371B"/>
    <w:rsid w:val="00657263"/>
    <w:rsid w:val="00662A33"/>
    <w:rsid w:val="0066791C"/>
    <w:rsid w:val="00683F3C"/>
    <w:rsid w:val="0068404D"/>
    <w:rsid w:val="006909EE"/>
    <w:rsid w:val="006A3414"/>
    <w:rsid w:val="006A7C15"/>
    <w:rsid w:val="00701A9E"/>
    <w:rsid w:val="00720331"/>
    <w:rsid w:val="00735FB9"/>
    <w:rsid w:val="00757F72"/>
    <w:rsid w:val="007614B0"/>
    <w:rsid w:val="0077091E"/>
    <w:rsid w:val="007D5CA7"/>
    <w:rsid w:val="0082309D"/>
    <w:rsid w:val="00825BA6"/>
    <w:rsid w:val="0082619C"/>
    <w:rsid w:val="00845B16"/>
    <w:rsid w:val="00845CD6"/>
    <w:rsid w:val="00850DE2"/>
    <w:rsid w:val="008767A7"/>
    <w:rsid w:val="00890EB0"/>
    <w:rsid w:val="008D1D34"/>
    <w:rsid w:val="0092651B"/>
    <w:rsid w:val="00962A19"/>
    <w:rsid w:val="00980EF5"/>
    <w:rsid w:val="009862B0"/>
    <w:rsid w:val="009A25DD"/>
    <w:rsid w:val="009B41F3"/>
    <w:rsid w:val="009C1606"/>
    <w:rsid w:val="009D34CF"/>
    <w:rsid w:val="009D6ECD"/>
    <w:rsid w:val="009E121B"/>
    <w:rsid w:val="00A1202C"/>
    <w:rsid w:val="00A36DEB"/>
    <w:rsid w:val="00A6052B"/>
    <w:rsid w:val="00A61089"/>
    <w:rsid w:val="00A77FD2"/>
    <w:rsid w:val="00A847D4"/>
    <w:rsid w:val="00AD717D"/>
    <w:rsid w:val="00AF149B"/>
    <w:rsid w:val="00B03757"/>
    <w:rsid w:val="00B27F47"/>
    <w:rsid w:val="00B340AC"/>
    <w:rsid w:val="00B4298D"/>
    <w:rsid w:val="00B54F4D"/>
    <w:rsid w:val="00B747CA"/>
    <w:rsid w:val="00BA4A91"/>
    <w:rsid w:val="00BB0CDB"/>
    <w:rsid w:val="00BB1E52"/>
    <w:rsid w:val="00BB7B98"/>
    <w:rsid w:val="00BD6DE1"/>
    <w:rsid w:val="00BE0D8A"/>
    <w:rsid w:val="00C2710F"/>
    <w:rsid w:val="00C36FE1"/>
    <w:rsid w:val="00C73B50"/>
    <w:rsid w:val="00C85294"/>
    <w:rsid w:val="00C91994"/>
    <w:rsid w:val="00CA19BF"/>
    <w:rsid w:val="00CE3C6E"/>
    <w:rsid w:val="00D11982"/>
    <w:rsid w:val="00D40AE0"/>
    <w:rsid w:val="00D42262"/>
    <w:rsid w:val="00D42DA4"/>
    <w:rsid w:val="00D52DFB"/>
    <w:rsid w:val="00D73DC3"/>
    <w:rsid w:val="00D9049A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A1A06"/>
    <w:rsid w:val="00EA1D77"/>
    <w:rsid w:val="00ED7FB1"/>
    <w:rsid w:val="00F03F4C"/>
    <w:rsid w:val="00F05A31"/>
    <w:rsid w:val="00F06DC1"/>
    <w:rsid w:val="00F43B82"/>
    <w:rsid w:val="00F4507B"/>
    <w:rsid w:val="00F864AE"/>
    <w:rsid w:val="00F87275"/>
    <w:rsid w:val="00F938F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0194-A79E-4A81-B685-3AE792DA7D8B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CB3A6245-D22A-4E16-878A-63471FFC5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DE276-62E0-4E3B-87D3-594FC7869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65109-0478-47D6-A6F4-22D43CC3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3</cp:revision>
  <dcterms:created xsi:type="dcterms:W3CDTF">2024-10-10T04:21:00Z</dcterms:created>
  <dcterms:modified xsi:type="dcterms:W3CDTF">2024-10-10T04:22:00Z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